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AVVISO PUBBLICO PER LA SELEZIONE DI PROGETTI E INIZIATIVE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SOGGETTI TERZI PORTATORI DI INTERESSI COLLETTIVI DELLE IMPRESE DELLA REGIONE MARCHE DA REALIZZARE CON IL CONTRIBUTO CAMERALE ANNO 202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Modello B2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RENDICONTO FINANZIARIO DELL’INIZIATIVA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5.000000000002" w:type="dxa"/>
        <w:jc w:val="left"/>
        <w:tblInd w:w="-21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366"/>
        <w:gridCol w:w="1186"/>
        <w:gridCol w:w="631"/>
        <w:gridCol w:w="734"/>
        <w:gridCol w:w="2431"/>
        <w:gridCol w:w="1020"/>
        <w:gridCol w:w="1366"/>
        <w:gridCol w:w="1261"/>
        <w:tblGridChange w:id="0">
          <w:tblGrid>
            <w:gridCol w:w="1366"/>
            <w:gridCol w:w="1186"/>
            <w:gridCol w:w="631"/>
            <w:gridCol w:w="734"/>
            <w:gridCol w:w="2431"/>
            <w:gridCol w:w="1020"/>
            <w:gridCol w:w="1366"/>
            <w:gridCol w:w="1261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SPESE                                                                                                                                                                      (specificare se al lordo o netto di IVA)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Intestatario Fattura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Fornitore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Fattura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causale/oggetto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importo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€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di pagamento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di pagamento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 doc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Spese del personale (se autocertificate nel mod. B3)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4F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 SPESE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75.0" w:type="dxa"/>
        <w:jc w:val="left"/>
        <w:tblInd w:w="-21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4" w:val="single"/>
          <w:insideH w:color="000000" w:space="0" w:sz="8" w:val="single"/>
          <w:insideV w:color="000000" w:space="0" w:sz="4" w:val="single"/>
        </w:tblBorders>
        <w:tblLayout w:type="fixed"/>
        <w:tblLook w:val="0000"/>
      </w:tblPr>
      <w:tblGrid>
        <w:gridCol w:w="2356"/>
        <w:gridCol w:w="3239"/>
        <w:gridCol w:w="1623"/>
        <w:gridCol w:w="1457"/>
        <w:tblGridChange w:id="0">
          <w:tblGrid>
            <w:gridCol w:w="2356"/>
            <w:gridCol w:w="3239"/>
            <w:gridCol w:w="1623"/>
            <w:gridCol w:w="1457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ENTRATE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(autocertificate nel modello 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Soggetto erogatore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Natura dell'entrata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importo accertato in €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Importo incassato in €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 ENTRATE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255.0" w:type="dxa"/>
        <w:jc w:val="left"/>
        <w:tblInd w:w="-226.0" w:type="dxa"/>
        <w:tblLayout w:type="fixed"/>
        <w:tblLook w:val="0000"/>
      </w:tblPr>
      <w:tblGrid>
        <w:gridCol w:w="1262"/>
        <w:gridCol w:w="1682"/>
        <w:gridCol w:w="519"/>
        <w:gridCol w:w="720"/>
        <w:gridCol w:w="1416"/>
        <w:gridCol w:w="1656"/>
        <w:tblGridChange w:id="0">
          <w:tblGrid>
            <w:gridCol w:w="1262"/>
            <w:gridCol w:w="1682"/>
            <w:gridCol w:w="519"/>
            <w:gridCol w:w="720"/>
            <w:gridCol w:w="1416"/>
            <w:gridCol w:w="1656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importo in €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DISAVANZO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(differenza tra spese ed entrate accertate)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 </w:t>
        <w:tab/>
        <w:tab/>
        <w:tab/>
        <w:tab/>
        <w:tab/>
        <w:tab/>
        <w:tab/>
        <w:t xml:space="preserve">             Firma del dichiarante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ISTRUZIONI: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spese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vanno elencate in maniera puntuale e analitica. Le spese vanno indicate al lordo dell’IVA se indetraibile, mentre vanno indicate al netto dell’IVA se detraibile. Specificare se gli importi sono indicati con IVA al lordo o al netto.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Non possono essere indicate spese non ammissibili ai sensi del regolamento camerale.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Qualora si intendano rendicontare le spese del personale (nella misura massima complessiva del 40% del budget), indicare il relativ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import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solo se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baseline"/>
          <w:rtl w:val="0"/>
        </w:rPr>
        <w:t xml:space="preserve">è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stat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autocertificat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nel Modello B - domanda di liquidazione (punto 7) e nel Modello B3.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N.B.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Non sono ammesse spese forfettarie non documentate, previste in precedenti edizioni del bando.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Indicare tutte le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entrate accertate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riferibili al progetto anche se ancora materialmente non acquisite/incassate.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Dettagliare l’importo, autocertificato nel modello B ( punto 8), indicando eventuali contributi richiesti ad altri enti pubblici o altri proventi per sponsor o compartecipazione di privati, specificandone la provenienza, nonché eventuali altri proventi attesi ed ogni altra fonte di finanziamento (biglietti di ingresso, quote di iscrizione/partecipazione, vendita di beni e servizi …). Nel caso non vi siano entrate riferibili al progetto, oltre all’eventuale contributo camerale, indicarlo espressamente.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417" w:left="1134" w:right="1134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hanging="1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Modello B2 – Rendiconto finanziario 202</w:t>
    </w:r>
    <w:r w:rsidDel="00000000" w:rsidR="00000000" w:rsidRPr="00000000">
      <w:rPr>
        <w:rFonts w:ascii="Arial" w:cs="Arial" w:eastAsia="Arial" w:hAnsi="Arial"/>
        <w:sz w:val="18"/>
        <w:szCs w:val="18"/>
        <w:vertAlign w:val="baseline"/>
        <w:rtl w:val="0"/>
      </w:rPr>
      <w:t xml:space="preserve">3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 Il rendiconto finanziario deve essere sottoscritto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con firma digital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 e inviato a mezzo PEC. E’ ammessa la sottoscrizione in originale a cura del legale rappresentante allegando fotocopia del documento di identità valido del soggetto firmatario.  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vertAlign w:val="subscript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ind w:left="0" w:right="0" w:hanging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ind w:left="0" w:right="0" w:hanging="1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